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bookmarkStart w:id="0" w:name="_Toc235508327"/>
      <w:r>
        <w:rPr>
          <w:rFonts w:hint="eastAsia"/>
        </w:rPr>
        <w:t>背景分析</w:t>
      </w:r>
      <w:bookmarkEnd w:id="0"/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中国会计准则规定，对存货的核算必须采用历史成本法，即实际成本法，如果企业采用计划成本法，例如标准成本进行日常核算，应当在月末结算成本差异，或将计划成本调整为实际成本。</w:t>
      </w:r>
    </w:p>
    <w:p>
      <w:pPr>
        <w:ind w:firstLine="420" w:firstLineChars="20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为满足中国的会计准则，在传统的手工帐时代，对于业务量较大的企业，人们更倾向采用“加权平均法”计算物料实际成本，即在物料发生业务时，产生的凭证只有数量，不包含金额，当月末计算物料的实际成本后，再补齐整月凭证；另一种处理方式是“先进先出法”，但这种计价方式工作量大，适合于业务较单一的中小型企业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从效果来看，这两种结算方式并没有真正的体现出财务管理的思想，因为技术条件的限制，这些做法只是机械的迎合会计准则的需要。管理学认为，对企业财务的控制应当分为事前计划，事中控制及事后分析，而单一的事后核算对企业现代化发展，毫无帮助。所以，采用标准成本法进行计价，为绝大多数咨询公司所推荐。</w:t>
      </w:r>
    </w:p>
    <w:p>
      <w:pPr>
        <w:ind w:firstLine="42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SAP系统中，如果物料的计价方式为标准价，并且系统没有启用物料分类帐功能，当业务发生的实际价与标准价不一致时，系统会自动计算差异，并将这笔差异计入表外科目，这些差异通常会在月结时，手工分摊至销售成本和库存子项目中。但这种做法并不能够使企业了解每种物料的实际成本，因为分摊差异并没有对应到具体的物料。</w:t>
      </w:r>
    </w:p>
    <w:p>
      <w:pPr>
        <w:ind w:firstLine="420" w:firstLineChars="20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如何在SAP中计算出物料的实际成本？如何才能将差异，分摊至每一种物料？带着这两个问题，我们进入下一阶段的讲述。</w:t>
      </w:r>
    </w:p>
    <w:p>
      <w:pPr>
        <w:ind w:firstLine="420"/>
        <w:rPr>
          <w:rFonts w:hint="eastAsia"/>
        </w:rPr>
      </w:pPr>
    </w:p>
    <w:p>
      <w:pPr>
        <w:pStyle w:val="2"/>
        <w:rPr>
          <w:rFonts w:hint="eastAsia"/>
        </w:rPr>
      </w:pPr>
      <w:bookmarkStart w:id="1" w:name="_Toc235508328"/>
      <w:r>
        <w:rPr>
          <w:rFonts w:hint="eastAsia"/>
        </w:rPr>
        <w:t>启用物料分类帐的前提</w:t>
      </w:r>
      <w:bookmarkEnd w:id="1"/>
    </w:p>
    <w:p>
      <w:pPr>
        <w:ind w:firstLine="420"/>
        <w:rPr>
          <w:rFonts w:hint="eastAsia"/>
        </w:rPr>
      </w:pPr>
      <w:r>
        <w:rPr>
          <w:rFonts w:hint="eastAsia"/>
        </w:rPr>
        <w:t>对于差异的处理，SAP提供了多种解决方案，下面，我们将以采购差异为例，对比不同的处理方式，从而明确启用物料分类帐的前提。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下图是进行采购收货时产生的会计凭证：</w:t>
      </w:r>
    </w:p>
    <w:p>
      <w:pPr>
        <w:rPr>
          <w:rFonts w:hint="eastAsia"/>
        </w:rPr>
      </w:pPr>
      <w:r>
        <w:drawing>
          <wp:inline distT="0" distB="0" distL="114300" distR="114300">
            <wp:extent cx="5485765" cy="2499360"/>
            <wp:effectExtent l="0" t="0" r="635" b="1524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5765" cy="249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可以看到，因为采购价与标准价的不一致，产生了-4095.82元的材料采购差异，对于这笔差异的处理方式，我们可以采取的措施有以下几种。</w:t>
      </w:r>
    </w:p>
    <w:p>
      <w:pPr>
        <w:pStyle w:val="3"/>
        <w:rPr>
          <w:rFonts w:hint="eastAsia"/>
        </w:rPr>
      </w:pPr>
      <w:bookmarkStart w:id="2" w:name="_Toc235508329"/>
      <w:r>
        <w:rPr>
          <w:rFonts w:hint="eastAsia"/>
        </w:rPr>
        <w:t>结转至销售成本</w:t>
      </w:r>
      <w:bookmarkEnd w:id="2"/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如果差异较小并且相对平稳，我们可以将所有差异直接通过手工帐的方式，直接结转至销售成本。在西方国家，这是一种非常普遍的差异结转方式，但在目前中国的会计制度下，这种方式仍存在争议。</w:t>
      </w:r>
    </w:p>
    <w:p>
      <w:pPr>
        <w:ind w:firstLine="420" w:firstLineChars="200"/>
        <w:rPr>
          <w:rFonts w:hint="eastAsia"/>
        </w:rPr>
      </w:pPr>
    </w:p>
    <w:p>
      <w:pPr>
        <w:ind w:firstLine="405"/>
        <w:rPr>
          <w:rFonts w:hint="eastAsia"/>
        </w:rPr>
      </w:pPr>
      <w:r>
        <w:rPr>
          <w:rFonts w:hint="eastAsia"/>
        </w:rPr>
        <w:t>这是传统手工帐时代的思想，这样做的好处就是：简单。坏处就是：过于简单。如果差异较小，这样做是可行的，但在目前激烈的市场竞争环境中，采购压力越来越大，随着近年来不断升高的通胀压力，工业原材料的价格水涨船高。价格的波动将直接导致差异的增加，如果将巨额的差异直接转至销售成本中，这将直接</w:t>
      </w:r>
      <w:r>
        <w:rPr>
          <w:rFonts w:hint="eastAsia"/>
          <w:color w:val="FF0000"/>
        </w:rPr>
        <w:t>影响本月的损益</w:t>
      </w:r>
      <w:r>
        <w:rPr>
          <w:rFonts w:hint="eastAsia"/>
        </w:rPr>
        <w:t>，</w:t>
      </w:r>
      <w:r>
        <w:rPr>
          <w:rFonts w:hint="eastAsia"/>
          <w:color w:val="FF0000"/>
        </w:rPr>
        <w:t>导致利润虚低</w:t>
      </w:r>
      <w:r>
        <w:rPr>
          <w:rFonts w:hint="eastAsia"/>
        </w:rPr>
        <w:t>，这将成为审计上的风险，同时，这也限制了企业对物料实际成本的管理。</w:t>
      </w:r>
    </w:p>
    <w:p>
      <w:pPr>
        <w:pStyle w:val="3"/>
        <w:rPr>
          <w:rFonts w:hint="eastAsia"/>
        </w:rPr>
      </w:pPr>
      <w:bookmarkStart w:id="3" w:name="_Toc235508330"/>
      <w:r>
        <w:rPr>
          <w:rFonts w:hint="eastAsia"/>
        </w:rPr>
        <w:t>期间分配法</w:t>
      </w:r>
      <w:bookmarkEnd w:id="3"/>
    </w:p>
    <w:p>
      <w:pPr>
        <w:ind w:firstLine="420"/>
        <w:rPr>
          <w:rFonts w:hint="eastAsia"/>
        </w:rPr>
      </w:pPr>
      <w:r>
        <w:rPr>
          <w:rFonts w:hint="eastAsia"/>
        </w:rPr>
        <w:t>从上一种方法中，我们可以了解到，当采购差异很大时，我们原则上不允许将差异直接转至销售成本中，我们采取的方式是，将差异在销售成本和物料中进行分摊，举例来说，如果本期共生产A物料100PC，销售60PC，40PC存入仓库，采购差异为200元，则销售成本需分摊120元差异，库存应承担40（</w:t>
      </w:r>
      <w:r>
        <w:rPr>
          <w:rFonts w:hint="eastAsia"/>
          <w:color w:val="FF0000"/>
        </w:rPr>
        <w:t>80</w:t>
      </w:r>
      <w:r>
        <w:rPr>
          <w:rFonts w:hint="eastAsia"/>
        </w:rPr>
        <w:t>）元差异。其中，库存所承担的差异，又将经过多级滚算，分配到不同的产成品、半成品、原材料中，从而还原出物料的实际成本，并将另一部分差异，结转至销售成本。</w:t>
      </w:r>
    </w:p>
    <w:p>
      <w:pPr>
        <w:pStyle w:val="3"/>
        <w:rPr>
          <w:rFonts w:hint="eastAsia"/>
        </w:rPr>
      </w:pPr>
      <w:bookmarkStart w:id="4" w:name="_Toc235508331"/>
      <w:r>
        <w:rPr>
          <w:rFonts w:hint="eastAsia"/>
        </w:rPr>
        <w:t>目前存在的问题</w:t>
      </w:r>
      <w:bookmarkEnd w:id="4"/>
    </w:p>
    <w:p>
      <w:pPr>
        <w:ind w:firstLine="420"/>
        <w:rPr>
          <w:rFonts w:hint="eastAsia"/>
        </w:rPr>
      </w:pPr>
      <w:r>
        <w:rPr>
          <w:rFonts w:hint="eastAsia"/>
        </w:rPr>
        <w:t>如果需要在SAP中实现期间分配法，我们可以采用物料分类帐，来实现所谓的“成本还原”。但物料分类帐也有一些不足之处。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如果要使用物料分类帐，建议使用标准价格体系，因为移动平均价已经是一种实际价格，不需要进行还原。并且如果使用了物料分类帐，所有物料的标准成本，必须在当月物料发生业务交易之前进行修改。原因是物料分类帐计算的逻辑，是以标准价为唯一标准，经和实际价对比后计算差异，修改标准价格将导致计算差异依据的变更。所以财务部门必须提前规划好标准价格的发布时间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物料分类帐对企业后勤业务的管理水平，有相当的要求。因为如果要将差异正确的进行分摊，那就必须指定每一笔差异所对应的物料、发生原因等关键数据。某些不规范或不合理的业务，将直接影响差异分摊的正确性。例如</w:t>
      </w:r>
      <w:r>
        <w:rPr>
          <w:rFonts w:hint="eastAsia"/>
          <w:b/>
          <w:color w:val="FF0000"/>
        </w:rPr>
        <w:t>盘点差异</w:t>
      </w:r>
      <w:r>
        <w:rPr>
          <w:rFonts w:hint="eastAsia"/>
        </w:rPr>
        <w:t>，如果企业每月都会进行盘点，</w:t>
      </w:r>
      <w:r>
        <w:rPr>
          <w:rFonts w:hint="eastAsia"/>
          <w:color w:val="FF0000"/>
        </w:rPr>
        <w:t>实盘库存与系统库存差异巨大，这部分差异将无法正确的进行分摊，导致实际成本的不正确。</w:t>
      </w:r>
    </w:p>
    <w:p>
      <w:pPr>
        <w:ind w:firstLine="420"/>
        <w:rPr>
          <w:rFonts w:hint="eastAsia"/>
        </w:rPr>
      </w:pPr>
    </w:p>
    <w:p>
      <w:pPr>
        <w:ind w:firstLine="405"/>
        <w:rPr>
          <w:rFonts w:hint="eastAsia"/>
        </w:rPr>
      </w:pPr>
      <w:r>
        <w:rPr>
          <w:rFonts w:hint="eastAsia"/>
        </w:rPr>
        <w:t>除此之外，因为物料分类帐关于库存差异的分摊是层层上滚的，如果产品BOM的层次比较复杂，半成品较多，很可能导致系统运行缓慢，影响月末CO结算速度。</w:t>
      </w:r>
    </w:p>
    <w:p>
      <w:pPr>
        <w:ind w:firstLine="405"/>
        <w:rPr>
          <w:rFonts w:hint="eastAsia"/>
        </w:rPr>
      </w:pPr>
    </w:p>
    <w:p>
      <w:pPr>
        <w:ind w:firstLine="405"/>
        <w:rPr>
          <w:rFonts w:hint="eastAsia"/>
          <w:color w:val="000000"/>
        </w:rPr>
      </w:pPr>
      <w:r>
        <w:rPr>
          <w:rFonts w:hint="eastAsia"/>
          <w:color w:val="000000"/>
        </w:rPr>
        <w:t>综上所述，启用物料分类帐的前提有：</w:t>
      </w:r>
    </w:p>
    <w:p>
      <w:pPr>
        <w:numPr>
          <w:ilvl w:val="0"/>
          <w:numId w:val="1"/>
        </w:num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采用标准价格对物料进行管理</w:t>
      </w:r>
    </w:p>
    <w:p>
      <w:pPr>
        <w:numPr>
          <w:ilvl w:val="0"/>
          <w:numId w:val="1"/>
        </w:num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企业材料采购差异较大，价格不稳定</w:t>
      </w:r>
    </w:p>
    <w:p>
      <w:pPr>
        <w:numPr>
          <w:ilvl w:val="0"/>
          <w:numId w:val="1"/>
        </w:numPr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企业物料数量较少，BOM结构较为简单</w:t>
      </w:r>
    </w:p>
    <w:p>
      <w:pPr>
        <w:numPr>
          <w:ilvl w:val="0"/>
          <w:numId w:val="1"/>
        </w:numPr>
        <w:rPr>
          <w:rFonts w:hint="eastAsia"/>
          <w:b/>
          <w:color w:val="000000"/>
        </w:rPr>
      </w:pPr>
      <w:r>
        <w:rPr>
          <w:rFonts w:hint="eastAsia"/>
          <w:b/>
          <w:bCs/>
          <w:color w:val="000000"/>
        </w:rPr>
        <w:t>企业管理规范，有能力建立相关配套制度</w:t>
      </w:r>
    </w:p>
    <w:p>
      <w:pPr>
        <w:rPr>
          <w:b/>
          <w:color w:val="000000"/>
        </w:rPr>
      </w:pPr>
    </w:p>
    <w:p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注意：原则上如果物料使用移动平均价时，也可启用物料分类帐，但移动平均价反应的已经是实际成本，所以启用物料分类帐的意义不大。</w:t>
      </w:r>
    </w:p>
    <w:p>
      <w:pPr>
        <w:rPr>
          <w:rFonts w:hint="eastAsia"/>
          <w:b/>
          <w:color w:val="FF0000"/>
        </w:rPr>
      </w:pPr>
    </w:p>
    <w:p>
      <w:pPr>
        <w:pStyle w:val="2"/>
        <w:rPr>
          <w:rFonts w:hint="eastAsia"/>
        </w:rPr>
      </w:pPr>
      <w:bookmarkStart w:id="5" w:name="_Toc235508332"/>
      <w:r>
        <w:rPr>
          <w:rFonts w:hint="eastAsia"/>
        </w:rPr>
        <w:t>物料分类帐差异分摊原理</w:t>
      </w:r>
      <w:bookmarkEnd w:id="5"/>
    </w:p>
    <w:p>
      <w:pPr>
        <w:rPr>
          <w:rFonts w:hint="eastAsia"/>
        </w:rPr>
      </w:pPr>
      <w:r>
        <w:rPr>
          <w:rFonts w:hint="eastAsia"/>
        </w:rPr>
        <w:t xml:space="preserve">    首先明确一点，无论是否使用物料分类帐，只要系统使用了标准价格甚至移动平均价，发生业务时都有可能产生差异。简单的说，物料分类帐不会对差异的产生造成影响，物料分类帐真正的作用是规范了差异的分摊，并利用分摊的结果，计算物料的实际成本</w:t>
      </w:r>
    </w:p>
    <w:p>
      <w:pPr>
        <w:pStyle w:val="3"/>
        <w:rPr>
          <w:rFonts w:hint="eastAsia"/>
        </w:rPr>
      </w:pPr>
      <w:bookmarkStart w:id="6" w:name="_Toc235508333"/>
      <w:r>
        <w:rPr>
          <w:rFonts w:hint="eastAsia"/>
        </w:rPr>
        <w:t>差异类别</w:t>
      </w:r>
      <w:bookmarkEnd w:id="6"/>
    </w:p>
    <w:p>
      <w:pPr>
        <w:rPr>
          <w:rFonts w:hint="eastAsia"/>
        </w:rPr>
      </w:pPr>
      <w:r>
        <w:rPr>
          <w:rFonts w:hint="eastAsia"/>
        </w:rPr>
        <w:t xml:space="preserve">    在讲述差异分摊的原理之前，首先需要介绍的是差异的类别，物料分类帐中，差异分为两类：</w:t>
      </w:r>
      <w:r>
        <w:rPr>
          <w:rFonts w:hint="eastAsia"/>
          <w:b/>
          <w:color w:val="FF0000"/>
        </w:rPr>
        <w:t>单层差异、多层差异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简单的讲，单层差异就是物料自身所产生的差异，例如材料采购差异、生产订单差异、发票校验差异、期初导入差异等。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多层差异一般是由这个物料的下层物料分摊而来的差异，例如生产订单中，投入到这张订单中的物料所差生的差异，这部分差异主要由BOM结构来确定，位于BOM底层的物料不会吸收多层差异，但会向他的上层物料分摊自身的单层差异，这笔差异对于底层物料来说，是由单层差异引发的，而对上层物料来说，是一种多层差异，</w:t>
      </w:r>
      <w:r>
        <w:rPr>
          <w:rFonts w:hint="eastAsia"/>
          <w:b/>
          <w:color w:val="FF0000"/>
        </w:rPr>
        <w:t>所以多层和单层的概念是相对的，不能一概而论。</w:t>
      </w:r>
    </w:p>
    <w:p>
      <w:pPr>
        <w:pStyle w:val="3"/>
        <w:rPr>
          <w:rFonts w:hint="eastAsia"/>
        </w:rPr>
      </w:pPr>
      <w:bookmarkStart w:id="7" w:name="_Toc235508334"/>
      <w:r>
        <w:rPr>
          <w:rFonts w:hint="eastAsia"/>
        </w:rPr>
        <w:t>差异分摊原理</w:t>
      </w:r>
      <w:bookmarkEnd w:id="7"/>
    </w:p>
    <w:p>
      <w:pPr>
        <w:rPr>
          <w:rFonts w:hint="eastAsia"/>
        </w:rPr>
      </w:pPr>
      <w:r>
        <w:rPr>
          <w:rFonts w:hint="eastAsia"/>
        </w:rPr>
        <w:t>下面我们将举例说明差异分摊的原理。假设产成品F001，该物料的BOM结构如下：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639310" cy="2546985"/>
            <wp:effectExtent l="0" t="0" r="8890" b="571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05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这5个物料当月进销存情况如下：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457700" cy="1838325"/>
            <wp:effectExtent l="0" t="0" r="0" b="9525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则这5个物料的差异分摊情况如下：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69230" cy="2133600"/>
            <wp:effectExtent l="0" t="0" r="762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举例分析物料R003差异走向：</w:t>
      </w:r>
    </w:p>
    <w:p>
      <w:pPr>
        <w:numPr>
          <w:ilvl w:val="0"/>
          <w:numId w:val="2"/>
        </w:numPr>
        <w:ind w:left="426" w:hanging="284"/>
        <w:rPr>
          <w:rFonts w:hint="eastAsia"/>
        </w:rPr>
      </w:pPr>
      <w:r>
        <w:rPr>
          <w:rFonts w:hint="eastAsia"/>
        </w:rPr>
        <w:t>首先原材料R003因为自身原因，产生了一笔300元的单层差异。R003当期的消耗与库存之比为1：2，所以应当上滚的单层差异为100元，应当被库存所吸收的差异为200元。</w:t>
      </w:r>
    </w:p>
    <w:p>
      <w:pPr>
        <w:numPr>
          <w:ilvl w:val="0"/>
          <w:numId w:val="2"/>
        </w:numPr>
        <w:ind w:left="426" w:hanging="284"/>
        <w:rPr>
          <w:rFonts w:hint="eastAsia"/>
        </w:rPr>
      </w:pPr>
      <w:r>
        <w:rPr>
          <w:rFonts w:hint="eastAsia"/>
        </w:rPr>
        <w:t>R003将100元的单层差异上滚至半成品H001，原因是H001是</w:t>
      </w:r>
      <w:r>
        <w:rPr>
          <w:rFonts w:hint="eastAsia"/>
          <w:b/>
          <w:color w:val="FF0000"/>
        </w:rPr>
        <w:t>R003</w:t>
      </w:r>
      <w:r>
        <w:rPr>
          <w:rFonts w:hint="eastAsia"/>
        </w:rPr>
        <w:t>的上层物料，生产H001需要投入</w:t>
      </w:r>
      <w:r>
        <w:rPr>
          <w:rFonts w:hint="eastAsia"/>
          <w:b/>
          <w:color w:val="FF0000"/>
        </w:rPr>
        <w:t>R003</w:t>
      </w:r>
      <w:r>
        <w:rPr>
          <w:rFonts w:hint="eastAsia"/>
        </w:rPr>
        <w:t>。这100元便成为H001的多层差异，同时，H001因为自身生产而发生了100元的单层差异，并且H001还从R002吸收了20元的多层差异，在月末结算时，H001的总差异为100+100+20=220元。</w:t>
      </w:r>
    </w:p>
    <w:p>
      <w:pPr>
        <w:numPr>
          <w:ilvl w:val="0"/>
          <w:numId w:val="2"/>
        </w:numPr>
        <w:ind w:left="426" w:hanging="284"/>
        <w:rPr>
          <w:rFonts w:hint="eastAsia"/>
        </w:rPr>
      </w:pPr>
      <w:r>
        <w:rPr>
          <w:rFonts w:hint="eastAsia"/>
        </w:rPr>
        <w:t>H001当期消耗与库存之比为1：1。所以应当上滚的总差异为110元，应当被库存吸收的差异也为110元。</w:t>
      </w:r>
    </w:p>
    <w:p>
      <w:pPr>
        <w:numPr>
          <w:ilvl w:val="0"/>
          <w:numId w:val="2"/>
        </w:numPr>
        <w:ind w:left="426" w:hanging="284"/>
        <w:rPr>
          <w:rFonts w:hint="eastAsia"/>
          <w:highlight w:val="yellow"/>
        </w:rPr>
      </w:pPr>
      <w:r>
        <w:rPr>
          <w:rFonts w:hint="eastAsia"/>
          <w:highlight w:val="yellow"/>
        </w:rPr>
        <w:t>F001吸收了下层物料R001和H001共计160元的多层差异，与此同时，生产F001产生了80元的自身差异。当月F001的总差异为50+110+80=240元。</w:t>
      </w:r>
    </w:p>
    <w:p>
      <w:pPr>
        <w:numPr>
          <w:ilvl w:val="0"/>
          <w:numId w:val="2"/>
        </w:numPr>
        <w:ind w:left="426" w:hanging="284"/>
        <w:rPr>
          <w:rFonts w:hint="eastAsia"/>
          <w:highlight w:val="yellow"/>
        </w:rPr>
      </w:pPr>
      <w:r>
        <w:rPr>
          <w:rFonts w:hint="eastAsia"/>
          <w:highlight w:val="yellow"/>
        </w:rPr>
        <w:t>当月F001全部出库，因为F001是顶层物料，所以F001的出库被认为是销售出库，F001的240元差异将直接进入当期损益，即销售成本。</w:t>
      </w:r>
    </w:p>
    <w:p>
      <w:pPr>
        <w:pStyle w:val="3"/>
        <w:rPr>
          <w:rFonts w:hint="eastAsia"/>
        </w:rPr>
      </w:pPr>
      <w:bookmarkStart w:id="8" w:name="_Toc235508335"/>
      <w:r>
        <w:rPr>
          <w:rFonts w:hint="eastAsia"/>
        </w:rPr>
        <w:t>差异计算逻辑</w:t>
      </w:r>
      <w:bookmarkEnd w:id="8"/>
    </w:p>
    <w:p>
      <w:pPr>
        <w:rPr>
          <w:rFonts w:hint="eastAsia"/>
        </w:rPr>
      </w:pPr>
      <w:r>
        <w:rPr>
          <w:rFonts w:hint="eastAsia"/>
        </w:rPr>
        <w:t>目前差异的计算逻辑仍存在分歧，主要有两种计算方法：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按照数量分摊差异；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按照实际成本分摊差异。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按照数量分摊差异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48910" cy="3666490"/>
            <wp:effectExtent l="0" t="0" r="8890" b="1016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简单的说就是按照累计库存与消耗之比分摊差异。</w:t>
      </w:r>
    </w:p>
    <w:p>
      <w:pPr>
        <w:rPr>
          <w:rFonts w:hint="eastAsia"/>
        </w:rPr>
      </w:pPr>
      <w:r>
        <w:rPr>
          <w:rFonts w:hint="eastAsia"/>
        </w:rPr>
        <w:t>生产订单共消耗该物料3268件，当期累计库存为8998件，总差异为150，计算公式为：</w:t>
      </w:r>
    </w:p>
    <w:p>
      <w:pPr>
        <w:rPr>
          <w:rFonts w:hint="eastAsia"/>
          <w:b/>
        </w:rPr>
      </w:pPr>
      <w:r>
        <w:rPr>
          <w:rFonts w:hint="eastAsia"/>
          <w:b/>
        </w:rPr>
        <w:t>当期消耗 / 累计库存×总差异 = 消耗承担的差异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按实际成本分摊差异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49545" cy="3799205"/>
            <wp:effectExtent l="0" t="0" r="8255" b="10795"/>
            <wp:docPr id="26" name="图片 6" descr="3952971_66841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 descr="3952971_668412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简单的说就是通过累计库存和当月差异，计算出物料的实际成本，公式为：</w:t>
      </w:r>
    </w:p>
    <w:p>
      <w:pPr>
        <w:rPr>
          <w:rFonts w:hint="eastAsia"/>
          <w:b/>
        </w:rPr>
      </w:pPr>
      <w:r>
        <w:rPr>
          <w:rFonts w:hint="eastAsia"/>
          <w:b/>
        </w:rPr>
        <w:t>[（期初库存 + 当期收货）× 标准价 + 差异 ]  /（期初库存 + 当期收货）= 实际成本</w:t>
      </w:r>
    </w:p>
    <w:p>
      <w:pPr>
        <w:rPr>
          <w:rFonts w:hint="eastAsia"/>
        </w:rPr>
      </w:pPr>
      <w:r>
        <w:rPr>
          <w:rFonts w:hint="eastAsia"/>
        </w:rPr>
        <w:t>根据实际成本与当期消耗所对应的价格进行对比，计算得出消耗所应承担的差异，公式为：</w:t>
      </w:r>
    </w:p>
    <w:p>
      <w:pPr>
        <w:rPr>
          <w:rFonts w:hint="eastAsia"/>
          <w:b/>
        </w:rPr>
      </w:pPr>
      <w:r>
        <w:rPr>
          <w:rFonts w:hint="eastAsia"/>
          <w:b/>
        </w:rPr>
        <w:t xml:space="preserve">（标准成本 </w:t>
      </w:r>
      <w:r>
        <w:rPr>
          <w:b/>
        </w:rPr>
        <w:t>–</w:t>
      </w:r>
      <w:r>
        <w:rPr>
          <w:rFonts w:hint="eastAsia"/>
          <w:b/>
        </w:rPr>
        <w:t xml:space="preserve"> 实际成本）× 消耗数量 = 消耗承担的差异</w:t>
      </w:r>
    </w:p>
    <w:p>
      <w:pPr>
        <w:rPr>
          <w:rFonts w:hint="eastAsia"/>
        </w:rPr>
      </w:pPr>
      <w:r>
        <w:rPr>
          <w:rFonts w:hint="eastAsia"/>
        </w:rPr>
        <w:t>而库存承担的差异计算公式为：</w:t>
      </w:r>
    </w:p>
    <w:p>
      <w:pPr>
        <w:rPr>
          <w:rFonts w:hint="eastAsia"/>
          <w:b/>
        </w:rPr>
      </w:pPr>
      <w:r>
        <w:rPr>
          <w:rFonts w:hint="eastAsia"/>
          <w:b/>
        </w:rPr>
        <w:t xml:space="preserve">总差异 </w:t>
      </w:r>
      <w:r>
        <w:rPr>
          <w:b/>
        </w:rPr>
        <w:t>–</w:t>
      </w:r>
      <w:r>
        <w:rPr>
          <w:rFonts w:hint="eastAsia"/>
          <w:b/>
        </w:rPr>
        <w:t xml:space="preserve"> 消耗承担的差异 = 库存承担的差异</w:t>
      </w:r>
    </w:p>
    <w:p>
      <w:pPr>
        <w:rPr>
          <w:rFonts w:hint="eastAsia"/>
          <w:b/>
        </w:rPr>
      </w:pPr>
    </w:p>
    <w:p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这两种差异计算逻辑的正确性有待进一步研究。但广义上讲，第一种理解更具普遍性。</w:t>
      </w:r>
    </w:p>
    <w:p>
      <w:pPr>
        <w:rPr>
          <w:rFonts w:hint="eastAsia"/>
          <w:b/>
          <w:color w:val="FF0000"/>
        </w:rPr>
      </w:pPr>
    </w:p>
    <w:p>
      <w:pPr>
        <w:pStyle w:val="2"/>
        <w:rPr>
          <w:rFonts w:hint="eastAsia"/>
        </w:rPr>
      </w:pPr>
      <w:bookmarkStart w:id="9" w:name="_Toc235508336"/>
      <w:r>
        <w:rPr>
          <w:rFonts w:hint="eastAsia"/>
        </w:rPr>
        <w:t>物料分类帐的前台操作</w:t>
      </w:r>
      <w:bookmarkEnd w:id="9"/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物料分类帐前台的操作，主要有两部分，分别为日常处理及月末结算。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日常处理的主要工作由后勤模块执行，关键在于规范业务流程，避免某些不合理业务的发生。</w:t>
      </w:r>
    </w:p>
    <w:p>
      <w:pPr>
        <w:rPr>
          <w:rFonts w:hint="eastAsia"/>
        </w:rPr>
      </w:pPr>
      <w:r>
        <w:rPr>
          <w:rFonts w:hint="eastAsia"/>
        </w:rPr>
        <w:t>月末结算时需要注意的有：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物料分类帐月结流程；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处理未分配、未分摊差异；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分析错误差异产生的原因。</w:t>
      </w:r>
    </w:p>
    <w:p>
      <w:pPr>
        <w:pStyle w:val="3"/>
        <w:rPr>
          <w:rFonts w:hint="eastAsia"/>
        </w:rPr>
      </w:pPr>
      <w:bookmarkStart w:id="10" w:name="_Toc235508337"/>
      <w:r>
        <w:rPr>
          <w:rFonts w:hint="eastAsia"/>
        </w:rPr>
        <w:t>物料分类帐的日常处理</w:t>
      </w:r>
      <w:bookmarkEnd w:id="10"/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在实施过程中，首先需要明确，企业中有哪些业务，是与物料分类帐有冲突的，例如物料转物料。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启用物料分类帐，是对企业管理水平的一次考验，如果企业内部的业务操作都是合理的、符合相关操作手册的，启用物料分类帐对企业的影响很小。但如果目前企业的管理较为混乱，则有必要加强企业的内部管理，特别是生产、采购方面管理，并对现有业务进行调整，优化流程，保证差异的合理分摊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所以在实施物料分类帐之前，建议对客户进行系统性的培训，内容除了常规的系统培训外，还应当包括一下几点：帮助企业建立一系列规章制度；明确职责权利；严防不规范的操作发生，这类业务主要包括以下几点：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生产订单不规范的跨月投料</w:t>
      </w:r>
    </w:p>
    <w:p>
      <w:pPr>
        <w:ind w:firstLine="420"/>
        <w:rPr>
          <w:rFonts w:hint="eastAsia"/>
        </w:rPr>
      </w:pPr>
      <w:r>
        <w:rPr>
          <w:rFonts w:hint="eastAsia"/>
        </w:rPr>
        <w:t>在使用SAP的过程中，物流与信息流之间，往往会存在一定的时间差，例如当产成品入库后，仓管员往往会在物料进入仓库一段时间后再进行系统过账，这在平日里对SAP的影响可能并不大，但在月末时，这种影响将是危害性的。举例来说：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财务部门在月末关闭上月的物料期间，如果某企业采用的是先收货后投料的生产方式，在上月末，车间为了赶指生产标，将刚生产完毕的工件过账入库，而与此同时，原材料仓储部门却没有及时在系统中，将这部分料发至生产订单，导致这类订单有产出，无投入，该入库物料的实际成本将虚低。所以建议在设计业务流程时，后勤顾问需要尤其关注月末车间的这类情况，及时制定流程进行规避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非生产性成本中心领用物料</w:t>
      </w:r>
    </w:p>
    <w:p>
      <w:pPr>
        <w:rPr>
          <w:rFonts w:hint="eastAsia"/>
        </w:rPr>
      </w:pPr>
      <w:r>
        <w:rPr>
          <w:rFonts w:hint="eastAsia"/>
        </w:rPr>
        <w:t>成本中心领用物料是常见的后勤业务。发生这种业务可能的原因包括以下几点：</w:t>
      </w:r>
    </w:p>
    <w:p>
      <w:pPr>
        <w:numPr>
          <w:ilvl w:val="0"/>
          <w:numId w:val="5"/>
        </w:numPr>
        <w:ind w:hanging="840"/>
        <w:rPr>
          <w:rFonts w:hint="eastAsia"/>
        </w:rPr>
      </w:pPr>
      <w:r>
        <w:rPr>
          <w:rFonts w:hint="eastAsia"/>
        </w:rPr>
        <w:t>车间辅料耗用；车间中某些辅料无法直接对应到生产订单，或价值较低无需耗用大量管理资源，将其搭建到BOM中。这时，企业会将这些物料直接投入该车间的成本中心，月末通过作业价格重估将这部分制造费用分摊到当月订单。</w:t>
      </w:r>
    </w:p>
    <w:p>
      <w:pPr>
        <w:numPr>
          <w:ilvl w:val="0"/>
          <w:numId w:val="5"/>
        </w:numPr>
        <w:ind w:hanging="840"/>
        <w:rPr>
          <w:rFonts w:hint="eastAsia"/>
        </w:rPr>
      </w:pPr>
      <w:r>
        <w:rPr>
          <w:rFonts w:hint="eastAsia"/>
        </w:rPr>
        <w:t>工件报废；某些企业的报废工件无法准确对应到订单，于是简化了报废流程将报废件直接发入成本中心。</w:t>
      </w:r>
    </w:p>
    <w:p>
      <w:pPr>
        <w:numPr>
          <w:ilvl w:val="0"/>
          <w:numId w:val="5"/>
        </w:numPr>
        <w:ind w:hanging="840"/>
        <w:rPr>
          <w:rFonts w:hint="eastAsia"/>
        </w:rPr>
      </w:pPr>
      <w:r>
        <w:rPr>
          <w:rFonts w:hint="eastAsia"/>
        </w:rPr>
        <w:t>其他损耗；同上。</w:t>
      </w:r>
    </w:p>
    <w:p>
      <w:pPr>
        <w:ind w:left="42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对于上述的成本中心领料，月末结算时物料的差异将直接进入所对应的成本中心。如果是生产性成本中心，则差异会根据作业价格重估重新进入到生产订单，在该车间的生产订单中进行统摊。但如果对应的是非生成性成本中心，则差异只能进损益，这不但有违我国的会计准则，更会使实际成本计算不准确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物料转物料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物料转物料在企业中也是一种常见的业务，发生这种业务一般是由替代料，或主数据不准确而造成，使用物料分类帐后，将不允许这种业务的发生，原因如下：</w:t>
      </w:r>
    </w:p>
    <w:p>
      <w:pPr>
        <w:ind w:firstLine="420" w:firstLineChars="20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首先举例说明物料转物料中的差异流转情况：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81280</wp:posOffset>
                </wp:positionV>
                <wp:extent cx="3914775" cy="733425"/>
                <wp:effectExtent l="13970" t="13970" r="14605" b="1460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4775" cy="733425"/>
                          <a:chOff x="2790" y="11552"/>
                          <a:chExt cx="6165" cy="1155"/>
                        </a:xfrm>
                      </wpg:grpSpPr>
                      <wps:wsp>
                        <wps:cNvPr id="4" name="直接箭头连接符 4"/>
                        <wps:cNvCnPr/>
                        <wps:spPr>
                          <a:xfrm flipH="1">
                            <a:off x="4905" y="12002"/>
                            <a:ext cx="2010" cy="0"/>
                          </a:xfrm>
                          <a:prstGeom prst="straightConnector1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0" name="组合 10"/>
                        <wpg:cNvGrpSpPr/>
                        <wpg:grpSpPr>
                          <a:xfrm>
                            <a:off x="2790" y="11552"/>
                            <a:ext cx="6165" cy="1155"/>
                            <a:chOff x="2790" y="11462"/>
                            <a:chExt cx="6165" cy="1155"/>
                          </a:xfrm>
                        </wpg:grpSpPr>
                        <wps:wsp>
                          <wps:cNvPr id="5" name="圆角矩形 5"/>
                          <wps:cNvSpPr/>
                          <wps:spPr>
                            <a:xfrm>
                              <a:off x="2790" y="11462"/>
                              <a:ext cx="1710" cy="104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28575" cap="flat" cmpd="sng">
                              <a:solidFill>
                                <a:srgbClr val="FF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b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30"/>
                                    <w:szCs w:val="30"/>
                                  </w:rPr>
                                  <w:t>物料A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" name="圆角矩形 6"/>
                          <wps:cNvSpPr/>
                          <wps:spPr>
                            <a:xfrm>
                              <a:off x="7245" y="11462"/>
                              <a:ext cx="1710" cy="104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28575" cap="flat" cmpd="sng">
                              <a:solidFill>
                                <a:srgbClr val="FF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30"/>
                                    <w:szCs w:val="30"/>
                                  </w:rPr>
                                  <w:t>物料B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" name="文本框 7"/>
                          <wps:cNvSpPr txBox="1"/>
                          <wps:spPr>
                            <a:xfrm>
                              <a:off x="5104" y="11462"/>
                              <a:ext cx="1710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移动类型301</w:t>
                                </w:r>
                              </w:p>
                            </w:txbxContent>
                          </wps:txbx>
                          <wps:bodyPr upright="1">
                            <a:spAutoFit/>
                          </wps:bodyPr>
                        </wps:wsp>
                        <wps:wsp>
                          <wps:cNvPr id="8" name="文本框 8"/>
                          <wps:cNvSpPr txBox="1"/>
                          <wps:spPr>
                            <a:xfrm>
                              <a:off x="5112" y="12161"/>
                              <a:ext cx="1710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移动类型301</w:t>
                                </w:r>
                              </w:p>
                            </w:txbxContent>
                          </wps:txbx>
                          <wps:bodyPr upright="1">
                            <a:spAutoFit/>
                          </wps:bodyPr>
                        </wps:wsp>
                        <wps:wsp>
                          <wps:cNvPr id="9" name="直接箭头连接符 9"/>
                          <wps:cNvCnPr/>
                          <wps:spPr>
                            <a:xfrm>
                              <a:off x="4905" y="12107"/>
                              <a:ext cx="2010" cy="0"/>
                            </a:xfrm>
                            <a:prstGeom prst="straightConnector1">
                              <a:avLst/>
                            </a:prstGeom>
                            <a:ln w="28575" cap="flat" cmpd="sng">
                              <a:solidFill>
                                <a:srgbClr val="FF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6.5pt;margin-top:6.4pt;height:57.75pt;width:308.25pt;z-index:251667456;mso-width-relative:page;mso-height-relative:page;" coordorigin="2790,11552" coordsize="6165,1155" o:gfxdata="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">
                <o:lock v:ext="edit" aspectratio="f"/>
                <v:shape id="_x0000_s1026" o:spid="_x0000_s1026" o:spt="32" type="#_x0000_t32" style="position:absolute;left:4905;top:12002;flip:x;height:0;width:2010;" filled="f" stroked="t" coordsize="21600,21600" o:gfxdata="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O7B+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" joinstyle="round" endarrow="block"/>
                  <v:imagedata o:title=""/>
                  <o:lock v:ext="edit" aspectratio="f"/>
                </v:shape>
                <v:group id="_x0000_s1026" o:spid="_x0000_s1026" o:spt="203" style="position:absolute;left:2790;top:11552;height:1155;width:6165;" coordorigin="2790,11462" coordsize="6165,1155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roundrect id="_x0000_s1026" o:spid="_x0000_s1026" o:spt="2" style="position:absolute;left:2790;top:11462;height:1044;width:1710;" filled="f" stroked="t" coordsize="21600,21600" arcsize="0.166666666666667" o:gfxdata="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dLmO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2.25pt" color="#FF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>物料A</w:t>
                          </w:r>
                        </w:p>
                      </w:txbxContent>
                    </v:textbox>
                  </v:roundrect>
                  <v:roundrect id="_x0000_s1026" o:spid="_x0000_s1026" o:spt="2" style="position:absolute;left:7245;top:11462;height:1044;width:1710;" filled="f" stroked="t" coordsize="21600,21600" arcsize="0.166666666666667" o:gfxdata="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pif5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2.25pt" color="#FF0000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30"/>
                              <w:szCs w:val="30"/>
                            </w:rPr>
                            <w:t>物料B</w:t>
                          </w:r>
                        </w:p>
                      </w:txbxContent>
                    </v:textbox>
                  </v:roundrect>
                  <v:shape id="_x0000_s1026" o:spid="_x0000_s1026" o:spt="202" type="#_x0000_t202" style="position:absolute;left:5104;top:11462;height:456;width:1710;" filled="f" stroked="f" coordsize="21600,21600" o:gfxdata="UEsDBAoAAAAAAIdO4kAAAAAAAAAAAAAAAAAEAAAAZHJzL1BLAwQUAAAACACHTuJAXfLaMLsAAADa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IL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LaML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移动类型301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5112;top:12161;height:456;width:1710;" filled="f" stroked="f" coordsize="21600,21600" o:gfxdata="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sbU5CtwAAANo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移动类型301</w:t>
                          </w:r>
                        </w:p>
                      </w:txbxContent>
                    </v:textbox>
                  </v:shape>
                  <v:shape id="_x0000_s1026" o:spid="_x0000_s1026" o:spt="32" type="#_x0000_t32" style="position:absolute;left:4905;top:12107;height:0;width:2010;" filled="f" stroked="t" coordsize="21600,21600" o:gfxdata="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iqHu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FF0000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如上图所示，企业中发生两笔物料移动：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第一笔为从物料A移动至物料B，移动类型为301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第二笔为从物料B移动至物料A，移动类型也为301</w:t>
      </w:r>
    </w:p>
    <w:p>
      <w:pPr>
        <w:ind w:left="42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也就是说，物料A、B互为上层物料，月末物料分类帐结算时，物料A存在一笔单层差异，因为物料A曾经转到了物料B，所以差异理应分摊至物料B，成为物料B的多层差异。</w:t>
      </w:r>
    </w:p>
    <w:p>
      <w:pPr>
        <w:ind w:firstLine="420" w:firstLineChars="20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而物料B又转到了物料A，物料B所吸收的这笔多层差异又会被物料A所吸收，于是在两个物料间，差异无法进行正确分配。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订单技术性关闭的后续处理</w:t>
      </w:r>
    </w:p>
    <w:p>
      <w:pPr>
        <w:ind w:firstLine="420"/>
        <w:rPr>
          <w:rFonts w:hint="eastAsia"/>
        </w:rPr>
      </w:pPr>
      <w:r>
        <w:rPr>
          <w:rFonts w:hint="eastAsia"/>
        </w:rPr>
        <w:t>企业中经常会发生这类业务：订单投料后，发现制造出来的工件不是所需的，于是在订单没有任何产出的情况下，将其TECO，但不对已经投入该订单的物料进行处理。这些物料的投入，在月结时会自动进入订单差异科目，但这些差异却无法找到吸收的对象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如果投入到该订单的物料存在单层差异，则这部分差异也必须找到一个归集的对象，即这些物料的上层物料，但此时，这张订单已经关闭，上层物料没有任何产出，也就不能吸收任何差异。于是，这部分差异将无法进行分摊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按单物料的管理问题</w:t>
      </w:r>
    </w:p>
    <w:p>
      <w:pPr>
        <w:ind w:firstLine="420"/>
        <w:rPr>
          <w:rFonts w:hint="eastAsia"/>
        </w:rPr>
      </w:pPr>
      <w:r>
        <w:rPr>
          <w:rFonts w:hint="eastAsia"/>
        </w:rPr>
        <w:t>在SAP中，对物料存在多种形式的按单管理，比如按单生产、特殊的按单库存及按单的结算等。要保证这类业务的开展，必须在物料移动或其他相关单据发生业务时，指定相应的销售订单行项目。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对于物料移动来说，大多数企业都能够做到明确销售订单行项目，但对于某些非物料移动的业务，则明确难度较大，如发票校验，如下图所示：</w:t>
      </w:r>
    </w:p>
    <w:p>
      <w:pPr>
        <w:ind w:leftChars="-202" w:hanging="424" w:hangingChars="201"/>
        <w:rPr>
          <w:rFonts w:hint="eastAsia"/>
          <w:b/>
        </w:rPr>
      </w:pPr>
      <w:r>
        <w:rPr>
          <w:rFonts w:hint="eastAsia"/>
          <w:b/>
        </w:rPr>
        <w:drawing>
          <wp:inline distT="0" distB="0" distL="114300" distR="114300">
            <wp:extent cx="5970905" cy="3324225"/>
            <wp:effectExtent l="0" t="0" r="10795" b="952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-4" w:leftChars="-2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该物料入库数量为1，但总差异达23万。原因是该物料是一个按单的物料，物料分类帐能够区分按单物料和非按单物料的差异。该物料按照订单收货，在发票校验时，产生了一笔23W的采购差异，但该物料并没有按照订单进行校验，从而，按单的发票校验的差异，直接进入该物料非按单的库存中，直接导致该物料非按单库存的实际价格异常。</w:t>
      </w:r>
    </w:p>
    <w:p>
      <w:pPr>
        <w:ind w:firstLine="420"/>
        <w:rPr>
          <w:rFonts w:hint="eastAsia"/>
        </w:rPr>
      </w:pPr>
    </w:p>
    <w:p>
      <w:pPr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总体来讲，物料分类帐的日常处理，主要可以理解为规范后勤业务，财务部门的工作主要是监控，所以我们可以将物料分类帐理解为一种工具，一种提升企业管理的工具。</w:t>
      </w:r>
    </w:p>
    <w:p>
      <w:pPr>
        <w:pStyle w:val="3"/>
        <w:rPr>
          <w:rFonts w:hint="eastAsia"/>
        </w:rPr>
      </w:pPr>
      <w:bookmarkStart w:id="11" w:name="_Toc235508338"/>
      <w:r>
        <w:rPr>
          <w:rFonts w:hint="eastAsia"/>
        </w:rPr>
        <w:t>物料分类帐的月末结算</w:t>
      </w:r>
      <w:bookmarkEnd w:id="11"/>
    </w:p>
    <w:p>
      <w:pPr>
        <w:ind w:firstLine="420"/>
        <w:rPr>
          <w:rFonts w:hint="eastAsia"/>
        </w:rPr>
      </w:pPr>
      <w:r>
        <w:rPr>
          <w:rFonts w:hint="eastAsia"/>
        </w:rPr>
        <w:t>通过对日常业务的处理、分析，月末时，财务部门需要对收集而来的数据进行整理、计算，并最终得出物料的实际成本。</w:t>
      </w:r>
      <w:r>
        <w:rPr>
          <w:rFonts w:hint="eastAsia"/>
          <w:b/>
          <w:color w:val="FF0000"/>
          <w:sz w:val="28"/>
          <w:szCs w:val="28"/>
        </w:rPr>
        <w:t>物料分类帐的结算应该在结算生产订单之后，结转费用及出具报表之前进行</w:t>
      </w:r>
      <w:r>
        <w:rPr>
          <w:rFonts w:hint="eastAsia"/>
        </w:rPr>
        <w:t>。在月结时，我们需要注意以下几个方面：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物料分类帐月结流程</w:t>
      </w:r>
    </w:p>
    <w:p>
      <w:pPr>
        <w:rPr>
          <w:rFonts w:hint="eastAsia"/>
        </w:rPr>
      </w:pPr>
      <w:r>
        <w:rPr>
          <w:rFonts w:hint="eastAsia"/>
        </w:rPr>
        <w:t xml:space="preserve">    物料分类帐的结算主要通过9个步骤执行，事务代码CKMLCP，如下图所示：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45735" cy="3505835"/>
            <wp:effectExtent l="0" t="0" r="12065" b="18415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r="362" b="2646"/>
                    <a:stretch>
                      <a:fillRect/>
                    </a:stretch>
                  </pic:blipFill>
                  <pic:spPr>
                    <a:xfrm>
                      <a:off x="0" y="0"/>
                      <a:ext cx="5245735" cy="350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这个9个步骤的操作方式如下：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第一步：确定月结的工厂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2405" cy="3119120"/>
            <wp:effectExtent l="0" t="0" r="4445" b="508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1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注意：相互间有物料移动的工厂，必须同时进行物料分类帐的结算，否则将导致价格异常。</w:t>
      </w:r>
    </w:p>
    <w:p>
      <w:pPr>
        <w:rPr>
          <w:rFonts w:hint="eastAsia"/>
          <w:b/>
          <w:color w:val="FF0000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第二步：选定备选工厂中的物料。</w:t>
      </w:r>
    </w:p>
    <w:p>
      <w:pPr>
        <w:rPr>
          <w:rFonts w:hint="eastAsia"/>
        </w:rPr>
      </w:pPr>
      <w:r>
        <w:rPr>
          <w:rFonts w:hint="eastAsia"/>
        </w:rPr>
        <w:t>这里可以选择特定物料计算成本。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第三步：确定物料计算顺序。</w:t>
      </w:r>
    </w:p>
    <w:p>
      <w:pPr>
        <w:rPr>
          <w:rFonts w:hint="eastAsia"/>
        </w:rPr>
      </w:pPr>
      <w:r>
        <w:rPr>
          <w:rFonts w:hint="eastAsia"/>
        </w:rPr>
        <w:t>系统将自动确定计算差异的先后顺序。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第四步：计算物料自身差异（计算单层差异）。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1770" cy="3875405"/>
            <wp:effectExtent l="0" t="0" r="5080" b="1079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7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如果已经执行过这一步，建议选择“不要处理”来跳过部分没有价格变动的物料；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当单层差异导致物料实际成本改变过大时，可以定义警告及报错信息，及时了解价格变动幅度较大的物料；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计算价格的基准可以是物料的标准价格，也可以是物料月末的移动平均价。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第五步：计算多层差异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2405" cy="1944370"/>
            <wp:effectExtent l="0" t="0" r="4445" b="17780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系统允许按物料、工厂、评估类型进行选择需要计算的物料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0500" cy="2338705"/>
            <wp:effectExtent l="0" t="0" r="6350" b="4445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3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可以按照差异的大小，发送警告或错误消息。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当产生循环bom时，系统可以自动处理。举例说明循环bom，如下图所示：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541020</wp:posOffset>
                </wp:positionV>
                <wp:extent cx="1352550" cy="209550"/>
                <wp:effectExtent l="13970" t="13970" r="24130" b="2413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09550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25pt;margin-top:42.6pt;height:16.5pt;width:106.5pt;z-index:251669504;mso-width-relative:page;mso-height-relative:page;" filled="f" stroked="t" insetpen="f" coordsize="21600,21600" o:gfxdata="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afA6P1gAAAAoB&#10;AAAPAAAAAAAAAAEAIAAAACIAAABkcnMvZG93bnJldi54bWxQSwECFAAUAAAACACHTuJAhoEOJ+QB&#10;AAC1AwAADgAAAAAAAAABACAAAAAlAQAAZHJzL2Uyb0RvYy54bWxQSwUGAAAAAAYABgBZAQAAewUA&#10;AAAA&#10;">
                <v:path/>
                <v:fill on="f" alignshape="1" focussize="0,0"/>
                <v:stroke weight="2.25pt" color="#FF0000" imagealignshape="1"/>
                <v:imagedata o:title=""/>
                <o:lock v:ext="edit"/>
                <o:callout minusx="t" minusy="t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2750820</wp:posOffset>
                </wp:positionV>
                <wp:extent cx="1352550" cy="209550"/>
                <wp:effectExtent l="13970" t="13970" r="24130" b="2413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09550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.5pt;margin-top:216.6pt;height:16.5pt;width:106.5pt;z-index:251668480;mso-width-relative:page;mso-height-relative:page;" filled="f" stroked="t" insetpen="f" coordsize="21600,21600" o:gfxdata="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9OIJR1wAAAAoB&#10;AAAPAAAAAAAAAAEAIAAAACIAAABkcnMvZG93bnJldi54bWxQSwECFAAUAAAACACHTuJA4dtFT+MB&#10;AAC1AwAADgAAAAAAAAABACAAAAAmAQAAZHJzL2Uyb0RvYy54bWxQSwUGAAAAAAYABgBZAQAAewUA&#10;AAAA&#10;">
                <v:path/>
                <v:fill on="f" alignshape="1" focussize="0,0"/>
                <v:stroke weight="2.25pt" color="#FF0000" imagealignshape="1"/>
                <v:imagedata o:title=""/>
                <o:lock v:ext="edit"/>
                <o:callout minusx="t" minusy="t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w:drawing>
          <wp:inline distT="0" distB="0" distL="114300" distR="114300">
            <wp:extent cx="5272405" cy="3028950"/>
            <wp:effectExtent l="0" t="0" r="4445" b="0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该物料消耗自身进行生产，导致了差异无法分摊，这是典型的循环bom，也是后勤需要避免发生的业务。不过系统可以自动识别这些错误，并按照业务类型确定自身应当承担的差异。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69865" cy="2447925"/>
            <wp:effectExtent l="0" t="0" r="6985" b="9525"/>
            <wp:docPr id="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当差异异常导致物料价格为负时，系统能采取备选取价策略，防止负价格的出现。一般来讲，当物料的实际价格为负时，系统会自动不吸收这笔可能使物料价格为负的差异。这笔差异将成为一笔未分摊差异。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第六步：计算物料实际成本。</w:t>
      </w:r>
    </w:p>
    <w:p>
      <w:pPr>
        <w:rPr>
          <w:rFonts w:hint="eastAsia"/>
        </w:rPr>
      </w:pPr>
      <w:r>
        <w:rPr>
          <w:rFonts w:hint="eastAsia"/>
        </w:rPr>
        <w:t>执行计算程序，计算物料实际成本，该步骤可以理解为测试运行，不产生任何凭证。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第七步：产生差异凭证，将差异进行过账。</w:t>
      </w:r>
    </w:p>
    <w:p>
      <w:pPr>
        <w:rPr>
          <w:rFonts w:hint="eastAsia"/>
        </w:rPr>
      </w:pPr>
      <w:r>
        <w:rPr>
          <w:rFonts w:hint="eastAsia"/>
        </w:rPr>
        <w:t>当确认实际成本后，系统将根据上一步的结果，产生差异过账凭证。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第八步：将实际价格发布至物料的标准成本。</w:t>
      </w:r>
    </w:p>
    <w:p>
      <w:pPr>
        <w:rPr>
          <w:rFonts w:hint="eastAsia"/>
        </w:rPr>
      </w:pPr>
      <w:r>
        <w:rPr>
          <w:rFonts w:hint="eastAsia"/>
          <w:b/>
          <w:color w:val="FF0000"/>
        </w:rPr>
        <w:t>注意：在项目中一般不将实际成本发布至标准成本</w:t>
      </w:r>
      <w:r>
        <w:rPr>
          <w:rFonts w:hint="eastAsia"/>
        </w:rPr>
        <w:t>，原因有两个：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物料分类帐结算一般在月结尾进行，而月结一般需要3-10天，所以当实际成本计算完毕后，已经不能发布至当月的标准成本，失去发布意义。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标准成本一般作为物料的考核价，长期不变，而实际成本可能会因为当月的价格波动而改变，所以发布意义不大。</w:t>
      </w:r>
    </w:p>
    <w:p>
      <w:pPr>
        <w:pStyle w:val="3"/>
        <w:rPr>
          <w:rFonts w:hint="eastAsia"/>
        </w:rPr>
      </w:pPr>
      <w:bookmarkStart w:id="12" w:name="_Toc235508339"/>
      <w:r>
        <w:rPr>
          <w:rFonts w:hint="eastAsia"/>
        </w:rPr>
        <w:t>物料分类帐月结后续处理</w:t>
      </w:r>
      <w:bookmarkEnd w:id="12"/>
    </w:p>
    <w:p>
      <w:pPr>
        <w:widowControl/>
        <w:autoSpaceDE w:val="0"/>
        <w:autoSpaceDN w:val="0"/>
        <w:adjustRightInd w:val="0"/>
        <w:jc w:val="left"/>
        <w:rPr>
          <w:rFonts w:hint="eastAsia" w:ascii="宋体" w:cs="宋体"/>
          <w:color w:val="000000"/>
          <w:kern w:val="0"/>
          <w:szCs w:val="21"/>
          <w:lang w:val="zh-CN"/>
        </w:rPr>
      </w:pPr>
      <w:r>
        <w:rPr>
          <w:rFonts w:hint="eastAsia"/>
          <w:b/>
        </w:rPr>
        <w:t>分析结完物料账期后，每个期间的物料结算状态（</w:t>
      </w:r>
      <w:r>
        <w:rPr>
          <w:rFonts w:ascii="宋体" w:cs="宋体"/>
          <w:color w:val="000000"/>
          <w:kern w:val="0"/>
          <w:szCs w:val="21"/>
          <w:lang w:val="zh-CN"/>
        </w:rPr>
        <w:t>S_ALR_87013180</w:t>
      </w:r>
      <w:r>
        <w:rPr>
          <w:rFonts w:hint="eastAsia" w:ascii="宋体" w:cs="宋体"/>
          <w:color w:val="000000"/>
          <w:kern w:val="0"/>
          <w:szCs w:val="21"/>
          <w:lang w:val="zh-CN"/>
        </w:rPr>
        <w:t>）</w:t>
      </w:r>
    </w:p>
    <w:p>
      <w:pPr>
        <w:widowControl/>
        <w:autoSpaceDE w:val="0"/>
        <w:autoSpaceDN w:val="0"/>
        <w:adjustRightInd w:val="0"/>
        <w:jc w:val="left"/>
        <w:rPr>
          <w:rFonts w:hint="eastAsia" w:ascii="宋体" w:cs="宋体"/>
          <w:color w:val="000000"/>
          <w:kern w:val="0"/>
          <w:szCs w:val="21"/>
          <w:lang w:val="zh-CN"/>
        </w:rPr>
      </w:pPr>
      <w:r>
        <w:rPr>
          <w:rFonts w:ascii="宋体" w:cs="宋体"/>
          <w:color w:val="000000"/>
          <w:kern w:val="0"/>
          <w:szCs w:val="21"/>
          <w:lang w:val="zh-CN"/>
        </w:rPr>
        <w:drawing>
          <wp:inline distT="0" distB="0" distL="114300" distR="114300">
            <wp:extent cx="5266690" cy="3291840"/>
            <wp:effectExtent l="0" t="0" r="10160" b="3810"/>
            <wp:docPr id="3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utoSpaceDE w:val="0"/>
        <w:autoSpaceDN w:val="0"/>
        <w:adjustRightInd w:val="0"/>
        <w:jc w:val="left"/>
        <w:rPr>
          <w:rFonts w:hint="eastAsia" w:ascii="宋体" w:cs="宋体"/>
          <w:color w:val="000000"/>
          <w:kern w:val="0"/>
          <w:szCs w:val="21"/>
          <w:lang w:val="zh-CN"/>
        </w:rPr>
      </w:pPr>
    </w:p>
    <w:p>
      <w:pPr>
        <w:widowControl/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hint="eastAsia" w:ascii="宋体" w:cs="宋体"/>
          <w:color w:val="000000"/>
          <w:kern w:val="0"/>
          <w:szCs w:val="21"/>
          <w:lang w:val="zh-CN"/>
        </w:rPr>
        <w:t>结算完成后，状态为01和70是正常的</w:t>
      </w:r>
    </w:p>
    <w:p>
      <w:pPr>
        <w:rPr>
          <w:rFonts w:hint="eastAsia"/>
          <w:b/>
        </w:rPr>
      </w:pP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分析物料实际成本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完成第六步后，建议使用值流监视器，事务代码：CKMVFM，如下图所示，对物料实际成本数据进行分析、核对，如果发现差异异常的物料，可以在正式差异过账前对后勤业务进行调整。调整完毕后，按照调整内容，如果涉及成本中心或生产订单，则可以考虑对生产订单重新结算。如果涉及面不广，则仅需对物料分类帐重新结算。调整完毕后，再进入到第七步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69865" cy="4493260"/>
            <wp:effectExtent l="0" t="0" r="6985" b="2540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49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通过值流监视器，可以查看物料的差异分摊情况，如果出现金额较大的未分配为分摊，则可以使用CKM3寻找差异原因，并加以修正。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当确认结算没有问题后，完成第七步凭证过账的操作，然后使用F-02对差异科目的尾差进行结转。使用报表工具查看后台配置的差异科目。结算完毕后，这些科目可能会存在小额差异，必须将这部分表外差异科目的余额结转至表内，建议可以直接结转至当期损益。会计分录如下：</w:t>
      </w:r>
    </w:p>
    <w:p>
      <w:pPr>
        <w:ind w:left="850" w:leftChars="203" w:hanging="424" w:hangingChars="202"/>
        <w:rPr>
          <w:rFonts w:hint="eastAsia"/>
        </w:rPr>
      </w:pPr>
      <w:r>
        <w:rPr>
          <w:rFonts w:hint="eastAsia"/>
        </w:rPr>
        <w:t xml:space="preserve">借\贷：待摊费用-成本递延差异或相应损益科目 </w:t>
      </w:r>
    </w:p>
    <w:p>
      <w:pPr>
        <w:ind w:left="846" w:leftChars="403"/>
        <w:rPr>
          <w:rFonts w:hint="eastAsia"/>
        </w:rPr>
      </w:pPr>
      <w:r>
        <w:rPr>
          <w:rFonts w:hint="eastAsia"/>
        </w:rPr>
        <w:t>贷\借：手工差异转出</w:t>
      </w:r>
    </w:p>
    <w:p>
      <w:pPr>
        <w:ind w:left="850" w:leftChars="203" w:hanging="424" w:hangingChars="202"/>
        <w:rPr>
          <w:rFonts w:hint="eastAsia"/>
        </w:rPr>
      </w:pPr>
      <w:r>
        <w:rPr>
          <w:rFonts w:hint="eastAsia"/>
        </w:rPr>
        <w:t xml:space="preserve">           其他消费重估差异(COC)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 w:eastAsia="宋体"/>
          <w:highlight w:val="red"/>
          <w:lang w:eastAsia="zh-CN"/>
        </w:rPr>
      </w:pPr>
      <w:r>
        <w:rPr>
          <w:rFonts w:hint="eastAsia"/>
          <w:highlight w:val="red"/>
        </w:rPr>
        <w:t>同时，如果存在成本中心领料，则可能会有差异过账至成本中心，而此时的生产性成本中心已经通过作业价格重估清零，所以需要手工将这部分差异转出，并在下月冲回，或者直接进入当期损益。</w:t>
      </w:r>
      <w:r>
        <w:rPr>
          <w:rFonts w:hint="eastAsia"/>
          <w:highlight w:val="red"/>
          <w:lang w:eastAsia="zh-CN"/>
        </w:rPr>
        <w:t>（</w:t>
      </w:r>
      <w:r>
        <w:rPr>
          <w:rFonts w:hint="eastAsia"/>
          <w:highlight w:val="red"/>
          <w:lang w:val="en-US" w:eastAsia="zh-CN"/>
        </w:rPr>
        <w:t>重估归零了，通过作业价格分摊分配到生产订单，不要重新调整</w:t>
      </w:r>
      <w:r>
        <w:rPr>
          <w:rFonts w:hint="eastAsia"/>
          <w:highlight w:val="red"/>
          <w:lang w:eastAsia="zh-CN"/>
        </w:rPr>
        <w:t>）</w:t>
      </w:r>
    </w:p>
    <w:p>
      <w:pPr>
        <w:ind w:left="850" w:leftChars="203" w:hanging="424" w:hangingChars="202"/>
        <w:rPr>
          <w:rFonts w:hint="eastAsia"/>
          <w:highlight w:val="red"/>
        </w:rPr>
      </w:pPr>
      <w:r>
        <w:rPr>
          <w:rFonts w:hint="eastAsia"/>
          <w:highlight w:val="red"/>
        </w:rPr>
        <w:t xml:space="preserve">借：待摊费用-成本递延差异或相应损益科目  </w:t>
      </w:r>
    </w:p>
    <w:p>
      <w:pPr>
        <w:ind w:left="846" w:leftChars="403"/>
        <w:rPr>
          <w:rFonts w:hint="eastAsia"/>
          <w:highlight w:val="red"/>
        </w:rPr>
      </w:pPr>
      <w:r>
        <w:rPr>
          <w:rFonts w:hint="eastAsia"/>
          <w:highlight w:val="red"/>
        </w:rPr>
        <w:t>贷：成本中心余额转出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然后，将物料分类帐计算得出的实际成本传输至获利能力分析中，事务代码：KE27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1770" cy="2752090"/>
            <wp:effectExtent l="0" t="0" r="5080" b="10160"/>
            <wp:docPr id="2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注意：如果需要完成这步，获利分析需要有相应配置，保证COPA的报表中有实际成本的相关字段，在此不再赘述。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至此，物料分类帐月结结束。</w:t>
      </w:r>
    </w:p>
    <w:p>
      <w:pPr>
        <w:pStyle w:val="3"/>
        <w:rPr>
          <w:rFonts w:hint="eastAsia"/>
        </w:rPr>
      </w:pPr>
      <w:bookmarkStart w:id="13" w:name="_Toc235508340"/>
      <w:r>
        <w:rPr>
          <w:rFonts w:hint="eastAsia"/>
        </w:rPr>
        <w:t>系统环境的变化</w:t>
      </w:r>
      <w:bookmarkEnd w:id="13"/>
    </w:p>
    <w:p>
      <w:pPr>
        <w:ind w:firstLine="420"/>
        <w:rPr>
          <w:rFonts w:hint="eastAsia"/>
        </w:rPr>
      </w:pPr>
      <w:r>
        <w:rPr>
          <w:rFonts w:hint="eastAsia"/>
        </w:rPr>
        <w:t>启用物料分类帐后，系统会更新所有物料主数据，当物料发生任何收货或发料，系统都会自动产生一张物料分类帐凭证，如果有价格修改，系统还会增加一张价格修改凭证。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物料主数据的变化：</w:t>
      </w:r>
    </w:p>
    <w:p>
      <w:pPr>
        <w:rPr>
          <w:rFonts w:hint="eastAsia"/>
        </w:rPr>
      </w:pPr>
      <w:r>
        <w:rPr>
          <w:rFonts w:hint="eastAsia"/>
        </w:rPr>
        <w:t>下面是启用物料分类帐后，物料的会计1视图：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5271135" cy="5661660"/>
            <wp:effectExtent l="0" t="0" r="5715" b="15240"/>
            <wp:docPr id="3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66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-2335530</wp:posOffset>
                </wp:positionV>
                <wp:extent cx="2152650" cy="695325"/>
                <wp:effectExtent l="13970" t="13970" r="24130" b="1460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695325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.75pt;margin-top:-183.9pt;height:54.75pt;width:169.5pt;z-index:251674624;mso-width-relative:page;mso-height-relative:page;" filled="f" stroked="t" insetpen="f" coordsize="21600,21600" o:gfxdata="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EmpVtgA&#10;AAAMAQAADwAAAAAAAAABACAAAAAiAAAAZHJzL2Rvd25yZXYueG1sUEsBAhQAFAAAAAgAh07iQN3K&#10;AvHmAQAAtQMAAA4AAAAAAAAAAQAgAAAAJwEAAGRycy9lMm9Eb2MueG1sUEsFBgAAAAAGAAYAWQEA&#10;AH8FAAAAAA==&#10;">
                <v:path/>
                <v:fill on="f" alignshape="1" focussize="0,0"/>
                <v:stroke weight="2.25pt" color="#FF0000" imagealignshape="1"/>
                <v:imagedata o:title=""/>
                <o:lock v:ext="edit"/>
                <o:callout minusx="t" minusy="t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-2868295</wp:posOffset>
                </wp:positionV>
                <wp:extent cx="1609725" cy="161925"/>
                <wp:effectExtent l="13970" t="13970" r="14605" b="1460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161925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1.5pt;margin-top:-225.85pt;height:12.75pt;width:126.75pt;z-index:251673600;mso-width-relative:page;mso-height-relative:page;" filled="f" stroked="t" insetpen="f" coordsize="21600,21600" o:gfxdata="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N5&#10;+yXbAAAADQEAAA8AAAAAAAAAAQAgAAAAIgAAAGRycy9kb3ducmV2LnhtbFBLAQIUABQAAAAIAIdO&#10;4kDZ5XvZ5wEAALUDAAAOAAAAAAAAAAEAIAAAACoBAABkcnMvZTJvRG9jLnhtbFBLBQYAAAAABgAG&#10;AFkBAACDBQAAAAA=&#10;">
                <v:path/>
                <v:fill on="f" alignshape="1" focussize="0,0"/>
                <v:stroke weight="2.25pt" color="#FF0000" imagealignshape="1"/>
                <v:imagedata o:title=""/>
                <o:lock v:ext="edit"/>
                <o:callout minusx="t" minusy="t"/>
                <v:textbox>
                  <w:txbxContent>
                    <w:p/>
                  </w:txbxContent>
                </v:textbox>
              </v:rect>
            </w:pict>
          </mc:Fallback>
        </mc:AlternateConten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从上图我们可以看到，物料除了标准价外，还多了一个周期单位价格。这个价格类似于移动平均价，不同之处是，这个价格仅在一个周期内有效，我们可以简单的理解为，这是物料在某个期间内，计算得出的移动平均价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价格确定字段用来控制物料的价格类型，为S还是V。当价格确定为2时，物料可以使用V或者S作为计价方式；当价格确定为3时，物料只能使用S标准价作为计价方式。价格确定由后台配置确定，在启动工厂时，自动默认至物料主数据中。在物料发生业务之前，可以使用CKMM进行批量更改。如下图所示：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2590800</wp:posOffset>
                </wp:positionV>
                <wp:extent cx="2266950" cy="619125"/>
                <wp:effectExtent l="13970" t="13970" r="24130" b="1460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19125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204pt;height:48.75pt;width:178.5pt;z-index:251672576;mso-width-relative:page;mso-height-relative:page;" filled="f" stroked="t" insetpen="f" coordsize="21600,21600" o:gfxdata="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ymga9YAAAAK&#10;AQAADwAAAAAAAAABACAAAAAiAAAAZHJzL2Rvd25yZXYueG1sUEsBAhQAFAAAAAgAh07iQNKgOYPl&#10;AQAAtQMAAA4AAAAAAAAAAQAgAAAAJQEAAGRycy9lMm9Eb2MueG1sUEsFBgAAAAAGAAYAWQEAAHwF&#10;AAAAAA==&#10;">
                <v:path/>
                <v:fill on="f" alignshape="1" focussize="0,0"/>
                <v:stroke weight="2.25pt" color="#FF0000" imagealignshape="1"/>
                <v:imagedata o:title=""/>
                <o:lock v:ext="edit"/>
                <o:callout minusx="t" minusy="t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w:drawing>
          <wp:inline distT="0" distB="0" distL="114300" distR="114300">
            <wp:extent cx="5268595" cy="4174490"/>
            <wp:effectExtent l="0" t="0" r="8255" b="16510"/>
            <wp:docPr id="3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系统内凭证的变化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启用物料分类帐后，当企业内有关于物料的业务发生时，系统会自动代出相关凭证，这里举一个比较复杂的例子，当物料价格发生变动时的凭证：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3781425" cy="1743075"/>
            <wp:effectExtent l="0" t="0" r="9525" b="9525"/>
            <wp:docPr id="3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从上图我们可以看到，有两张物料分类帐凭证，第一帐时传统的物料交易凭证，第二张为物料价格变动凭证，如下图所示：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2127885</wp:posOffset>
                </wp:positionV>
                <wp:extent cx="2466975" cy="180975"/>
                <wp:effectExtent l="14605" t="0" r="13970" b="1460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180975"/>
                        </a:xfrm>
                        <a:prstGeom prst="rect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9.5pt;margin-top:167.55pt;height:14.25pt;width:194.25pt;z-index:251666432;mso-width-relative:page;mso-height-relative:page;" filled="f" stroked="t" insetpen="f" coordsize="21600,21600" o:gfxdata="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NrXmHZAAAA&#10;CwEAAA8AAAAAAAAAAQAgAAAAIgAAAGRycy9kb3ducmV2LnhtbFBLAQIUABQAAAAIAIdO4kCgjIRg&#10;4wEAALUDAAAOAAAAAAAAAAEAIAAAACgBAABkcnMvZTJvRG9jLnhtbFBLBQYAAAAABgAGAFkBAAB9&#10;BQAAAAA=&#10;">
                <v:path/>
                <v:fill on="f" alignshape="1" focussize="0,0"/>
                <v:stroke weight="2.25pt" color="#FF0000" imagealignshape="1"/>
                <v:imagedata o:title=""/>
                <o:lock v:ext="edit"/>
                <o:callout minusx="t" minusy="t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w:drawing>
          <wp:inline distT="0" distB="0" distL="114300" distR="114300">
            <wp:extent cx="5274310" cy="2447290"/>
            <wp:effectExtent l="0" t="0" r="2540" b="1016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这里显示1804170001160这个物料的价格被修改，系统会根据新旧两个价格自动算出库存价值差异。同时，我们可以在CKM3中对这个物料的价格进行详细的分析，CKM3界面如下所示：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1135" cy="3446780"/>
            <wp:effectExtent l="0" t="0" r="5715" b="127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4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在这里我们可以了解某物料在期间内的情况，包括以下四种数据：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期初库存：月初的库存量；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收据：期间内入库的物料；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消耗：包括对生产订单的消耗等日常物料消耗；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期末库存：期末物料的库存量。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差异科目的设置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如果不启用物料分类帐，一般企业会将差异科目设为成本要素，当差异发生时，通过OKB9将差异科目按照不同公司，分配至相应的成本中心，月结时，再将差异进行手工结转，如下图所示：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273040" cy="2442210"/>
            <wp:effectExtent l="0" t="0" r="3810" b="1524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4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4" w:name="_GoBack"/>
      <w:bookmarkEnd w:id="14"/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而启用物料分类帐后，差异科目一般设置为资产负债表科目表，表外科目，月末通过物料分类帐的结算，将差异科目调整至表内，具体配置方式详见后台配置一章。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49BE"/>
    <w:multiLevelType w:val="multilevel"/>
    <w:tmpl w:val="161149BE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17FA010B"/>
    <w:multiLevelType w:val="multilevel"/>
    <w:tmpl w:val="17FA010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5A678EE"/>
    <w:multiLevelType w:val="multilevel"/>
    <w:tmpl w:val="25A678E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2AFA72C8"/>
    <w:multiLevelType w:val="multilevel"/>
    <w:tmpl w:val="2AFA72C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8030AA1"/>
    <w:multiLevelType w:val="multilevel"/>
    <w:tmpl w:val="38030AA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4CB03A08"/>
    <w:multiLevelType w:val="multilevel"/>
    <w:tmpl w:val="4CB03A0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531F082E"/>
    <w:multiLevelType w:val="multilevel"/>
    <w:tmpl w:val="531F082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5BE10A6C"/>
    <w:multiLevelType w:val="multilevel"/>
    <w:tmpl w:val="5BE10A6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63F3207A"/>
    <w:multiLevelType w:val="multilevel"/>
    <w:tmpl w:val="63F3207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79092EAE"/>
    <w:multiLevelType w:val="multilevel"/>
    <w:tmpl w:val="79092EAE"/>
    <w:lvl w:ilvl="0" w:tentative="0">
      <w:start w:val="1"/>
      <w:numFmt w:val="bullet"/>
      <w:lvlText w:val=""/>
      <w:lvlJc w:val="left"/>
      <w:pPr>
        <w:ind w:left="8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5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0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2020-08-15T03:53:11Z</dcterms:created>
  <dc:creator>Administrator</dc:creator>
  <cp:lastModifiedBy>Function</cp:lastModifiedBy>
  <dcterms:modified xsi:type="dcterms:W3CDTF">2020-08-15T03:53:39Z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